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color w:themeColor="text1" w:val="000000"/>
          <w:sz w:val="28"/>
          <w:szCs w:val="28"/>
        </w:rPr>
      </w:pPr>
      <w:r>
        <w:rPr>
          <w:b/>
          <w:color w:themeColor="text1" w:val="000000"/>
          <w:sz w:val="28"/>
          <w:szCs w:val="28"/>
        </w:rPr>
        <w:t xml:space="preserve">Обоснование </w:t>
      </w:r>
    </w:p>
    <w:p>
      <w:pPr>
        <w:pStyle w:val="Normal"/>
        <w:jc w:val="center"/>
        <w:rPr>
          <w:b/>
          <w:bCs/>
          <w:color w:themeColor="text1" w:val="000000"/>
          <w:sz w:val="28"/>
          <w:szCs w:val="28"/>
          <w:highlight w:val="none"/>
        </w:rPr>
      </w:pPr>
      <w:r>
        <w:rPr>
          <w:b/>
          <w:color w:themeColor="text1" w:val="000000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>
      <w:pPr>
        <w:pStyle w:val="Normal"/>
        <w:jc w:val="center"/>
        <w:rPr>
          <w:b/>
          <w:bCs/>
          <w:color w:themeColor="text1" w:val="000000"/>
          <w:sz w:val="28"/>
          <w:szCs w:val="28"/>
        </w:rPr>
      </w:pPr>
      <w:r>
        <w:rPr>
          <w:b/>
          <w:bCs/>
          <w:color w:themeColor="text1" w:val="000000"/>
          <w:sz w:val="28"/>
          <w:szCs w:val="28"/>
        </w:rPr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571"/>
      </w:tblGrid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Правительства Белгородской области </w:t>
            </w:r>
            <w:r>
              <w:rPr>
                <w:rFonts w:cs="Times New Roman"/>
                <w:b w:val="false"/>
                <w:bCs w:val="false"/>
                <w:sz w:val="24"/>
                <w:szCs w:val="24"/>
              </w:rPr>
              <w:t xml:space="preserve">«О внесении изменений </w:t>
              <w:br/>
              <w:t>в постановление Правительства Белгородской области от 18 декабря 2023 года № 730-пп»</w:t>
            </w:r>
          </w:p>
          <w:p>
            <w:pPr>
              <w:pStyle w:val="Normal"/>
              <w:numPr>
                <w:ilvl w:val="0"/>
                <w:numId w:val="0"/>
              </w:numPr>
              <w:shd w:val="clear" w:color="auto" w:fill="FFFFFF"/>
              <w:ind w:hanging="0" w:left="0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i/>
                <w:i/>
                <w:color w:themeColor="text1" w:val="000000"/>
              </w:rPr>
            </w:pPr>
            <w:r>
              <w:rPr>
                <w:i/>
                <w:color w:themeColor="text1" w:val="000000"/>
              </w:rPr>
              <w:t xml:space="preserve"> </w:t>
            </w:r>
            <w:r>
              <w:rPr>
                <w:i/>
                <w:color w:themeColor="text1" w:val="000000"/>
              </w:rPr>
              <w:t>(наименование проекта нормативного правового акта Губернатора или Правительства Белгородской области, нормативного правового акта органа исполнительной власти области)</w:t>
            </w:r>
          </w:p>
          <w:p>
            <w:pPr>
              <w:pStyle w:val="Normal"/>
              <w:pBdr>
                <w:bottom w:val="single" w:sz="12" w:space="1" w:color="000000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автомобильных дорог и транспорта Белгородской области</w:t>
            </w:r>
          </w:p>
          <w:p>
            <w:pPr>
              <w:pStyle w:val="Normal"/>
              <w:jc w:val="center"/>
              <w:rPr/>
            </w:pPr>
            <w:r>
              <w:rPr>
                <w:i/>
                <w:color w:themeColor="text1" w:val="000000"/>
              </w:rPr>
              <w:t>(наименование органа исполнительной власти области, подготовившего данный проект нормативного правового акта)</w:t>
            </w:r>
          </w:p>
        </w:tc>
      </w:tr>
      <w:tr>
        <w:trPr>
          <w:trHeight w:val="425" w:hRule="atLeast"/>
        </w:trPr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 Обоснование необходимости принятия нормативного правового акта (основания, концепция, цели, задачи, последствия принятия):</w:t>
            </w:r>
          </w:p>
          <w:p>
            <w:pPr>
              <w:pStyle w:val="Normal"/>
              <w:widowControl/>
              <w:tabs>
                <w:tab w:val="clear" w:pos="708"/>
                <w:tab w:val="left" w:pos="709" w:leader="none"/>
              </w:tabs>
              <w:suppressAutoHyphens w:val="true"/>
              <w:bidi w:val="0"/>
              <w:spacing w:lineRule="auto" w:line="240" w:beforeAutospacing="0" w:before="0" w:afterAutospacing="0" w:after="0"/>
              <w:ind w:firstLine="737" w:left="0" w:right="113"/>
              <w:jc w:val="both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 xml:space="preserve">Проект постановления </w:t>
            </w:r>
            <w:r>
              <w:rPr>
                <w:sz w:val="24"/>
                <w:szCs w:val="24"/>
              </w:rPr>
              <w:t xml:space="preserve">Правительства Белгородской области </w:t>
            </w:r>
            <w:r>
              <w:rPr>
                <w:rFonts w:cs="Times New Roman"/>
                <w:b w:val="false"/>
                <w:bCs w:val="false"/>
                <w:sz w:val="24"/>
                <w:szCs w:val="24"/>
              </w:rPr>
              <w:t>«О внесении изменений в постановление Правительства Белгородской области от 18 декабря 2023 года № 730-пп»</w:t>
            </w:r>
            <w:r>
              <w:rPr>
                <w:spacing w:val="0"/>
                <w:sz w:val="24"/>
                <w:szCs w:val="24"/>
              </w:rPr>
              <w:t xml:space="preserve"> разработан в связи со следующим.</w:t>
            </w:r>
          </w:p>
          <w:p>
            <w:pPr>
              <w:pStyle w:val="Normal"/>
              <w:ind w:firstLine="73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целях своевременного выполнения программы дорожных работ на 2025 год,  в связи с внесением изменений в закон Белгородской области от 23 декабря 2024 года  № 430 «Об областном бюджете на 2025 год и на плановый период 2026 и 2027 годов» в части увеличения на 2025 год и перераспределения средств областного бюджета по разделу «Дорожное хозяйство (дорожные фонды)» в постановление Правительства Белгородской области от 18 декабря 2023 года № 730-пп «Об утверждении государственной программы Белгородской области «Совершенствование и развитие транспортной системы и дорожной сети Белгородской области» вносятся  изменения:</w:t>
            </w:r>
          </w:p>
          <w:p>
            <w:pPr>
              <w:pStyle w:val="Normal"/>
              <w:ind w:firstLine="73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 паспорт государственной программы (далее – Программа), а также в паспорта структурных элементов Программы и приложения к ним – по уточнению показателей и финансового обеспечения для реализации Программы;</w:t>
            </w:r>
          </w:p>
          <w:p>
            <w:pPr>
              <w:pStyle w:val="Normal"/>
              <w:ind w:firstLine="73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 перечни объектов по строительству (реконструкции), капитальному ремонту и ремонту автомобильных дорог и искусственных сооружений на них  регионального и местного значения (приложения № 1, № 6 – № 9 к Программе).</w:t>
            </w:r>
          </w:p>
          <w:p>
            <w:pPr>
              <w:pStyle w:val="Normal"/>
              <w:ind w:firstLine="73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2025 году увеличение бюджетных ассигнований на дорожную деятельность за счет неиспользованных, а также сверхплановых поступлений   в 2024 году, закрепленных налоговых и неналоговых платежей, учитываемых при формировании региональных дорожных фондов субъекта, составило 140 740,8 тыс. рублей:</w:t>
            </w:r>
          </w:p>
          <w:p>
            <w:pPr>
              <w:pStyle w:val="Style9"/>
              <w:tabs>
                <w:tab w:val="clear" w:pos="708"/>
                <w:tab w:val="left" w:pos="851" w:leader="none"/>
                <w:tab w:val="left" w:pos="993" w:leader="none"/>
              </w:tabs>
              <w:spacing w:lineRule="auto" w:line="276"/>
              <w:ind w:firstLine="709" w:left="0" w:right="0"/>
              <w:jc w:val="both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- 87 520,3 тыс. рублей  направлены на финансирование ведомственного проекта «Увеличение  пропускной способности автомобильных дорог и обеспечение транспортной доступности населенных пунктов и микрорайонов массовой жилищной застройки» в части предоставления субсидий Старооскольскому городскому округу на строительство автодорог в микрорайоне индивидуальной застройки «Вишенки», финансирование объекта планируется в 2025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– 2026 годах;</w:t>
            </w:r>
          </w:p>
          <w:p>
            <w:pPr>
              <w:pStyle w:val="Normal"/>
              <w:ind w:firstLine="73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- 53 220,5 тыс. рублей – на  комплекс процессных мероприятий «Обеспечение сохранности существующей сети автомобильных дорог и безопасности дорожного движения», из них: увеличение  на сумму 40 740,8 тыс. рублей на содержание автодорог регионального значения и 12 479,7 тыс. рублей предоставление субсидий Старооскольскому городскому округу на устройство наружного освещения в рамках капитального ремонта автодорог в микрорайоне ИЖС «Строитель»                   п. Незнамово и Прохоровскому району на ремонт автодороги по ул. Родниковая в с. Холодное.</w:t>
            </w:r>
          </w:p>
          <w:p>
            <w:pPr>
              <w:pStyle w:val="Normal"/>
              <w:ind w:firstLine="73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Кроме того, перераспределено финансирование по видам расходов в 2025 и 2027 годах между структурными элементами Программы в связи с необходимостью безусловного выполнения нового показателя «Доля автомобильных дорог, входящих в опорную сеть, соответствующих нормативным требованиям» в региональном проекте «Региональная и местная дорожная сеть», во исполнение обращений жителей региона в адрес Президента Российской Федерации и поручений, а также уточнения стоимостей объектов по проектно-сметной документации после положительного заключения экспертизы и заключения государственных  контрактов по результатам проведения аукционов.</w:t>
            </w:r>
          </w:p>
          <w:p>
            <w:pPr>
              <w:pStyle w:val="Normal"/>
              <w:ind w:firstLine="73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финансирования на 30 000,0 тыс. рублей  на комплекс процессных мероприятий «Создание условий для организации транспортного обслуживания населения» в части мероприятия по выполнению утвержденного регионального заказа транспортного обслуживания населения железнодорожным транспортом в пригородном сообщении.</w:t>
            </w:r>
          </w:p>
          <w:p>
            <w:pPr>
              <w:pStyle w:val="Normal"/>
              <w:ind w:firstLine="73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целом финансирование Программы на 2025 год составит 16 296 449,4 тыс. рублей, в том числе:</w:t>
            </w:r>
          </w:p>
          <w:p>
            <w:pPr>
              <w:pStyle w:val="Normal"/>
              <w:ind w:firstLine="73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- 13 228 724,5 тыс. рублей (+ 110 740,8) – средства областного бюджета;</w:t>
            </w:r>
          </w:p>
          <w:p>
            <w:pPr>
              <w:pStyle w:val="Normal"/>
              <w:ind w:firstLine="73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- 2 886 664,7 тыс. рублей – средства федерального бюджета;</w:t>
            </w:r>
          </w:p>
          <w:p>
            <w:pPr>
              <w:pStyle w:val="Normal"/>
              <w:ind w:firstLine="73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- 181 060,2 тыс. рублей (+ 11 044,5)– средства бюджетов муниципальных образований.</w:t>
            </w:r>
          </w:p>
        </w:tc>
      </w:tr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 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не окажет</w:t>
            </w:r>
          </w:p>
        </w:tc>
      </w:tr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 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отсутствуют</w:t>
            </w:r>
          </w:p>
        </w:tc>
      </w:tr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Arial">
    <w:charset w:val="01"/>
    <w:family w:val="swiss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40" w:beforeAutospacing="0" w:before="0" w:afterAutospacing="0" w:after="0"/>
      <w:jc w:val="left"/>
    </w:pPr>
    <w:rPr>
      <w:rFonts w:ascii="Times New Roman" w:hAnsi="Times New Roman" w:eastAsia="Calibri" w:cs="Times New Roman" w:eastAsiaTheme="minorHAnsi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Heading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FootnoteTextChar">
    <w:name w:val="Footnote Text Char"/>
    <w:uiPriority w:val="99"/>
    <w:qFormat/>
    <w:rPr>
      <w:sz w:val="18"/>
    </w:rPr>
  </w:style>
  <w:style w:type="character" w:styleId="Style5">
    <w:name w:val="Символ сноски"/>
    <w:uiPriority w:val="99"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uiPriority w:val="99"/>
    <w:rPr>
      <w:color w:val="0000FF"/>
      <w:u w:val="single"/>
    </w:rPr>
  </w:style>
  <w:style w:type="paragraph" w:styleId="Style7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 w:customStyle="1">
    <w:name w:val="Body Text"/>
    <w:pPr>
      <w:keepNext w:val="false"/>
      <w:keepLines w:val="false"/>
      <w:pageBreakBefore w:val="false"/>
      <w:widowControl w:val="false"/>
      <w:shd w:val="nil" w:color="000000"/>
      <w:suppressAutoHyphens w:val="true"/>
      <w:bidi w:val="0"/>
      <w:spacing w:lineRule="auto" w:line="360" w:beforeAutospacing="0" w:before="0" w:afterAutospacing="0" w:after="120"/>
      <w:ind w:firstLine="709" w:left="0" w:right="0"/>
      <w:jc w:val="both"/>
    </w:pPr>
    <w:rPr>
      <w:rFonts w:ascii="Calibri" w:hAnsi="Calibri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auto"/>
      <w:spacing w:val="0"/>
      <w:kern w:val="0"/>
      <w:position w:val="0"/>
      <w:sz w:val="20"/>
      <w:sz w:val="20"/>
      <w:szCs w:val="20"/>
      <w:u w:val="none"/>
      <w:vertAlign w:val="baseline"/>
      <w:lang w:val="en-US" w:eastAsia="ar-SA" w:bidi="ar-SA"/>
      <w14:ligatures w14:val="none"/>
    </w:rPr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themeColor="accent1" w:val="4F81BD"/>
      <w:sz w:val="18"/>
      <w:szCs w:val="18"/>
    </w:rPr>
  </w:style>
  <w:style w:type="paragraph" w:styleId="Style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Autospacing="0" w:before="0" w:afterAutospacing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itle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200"/>
      <w:ind w:left="720" w:right="720"/>
    </w:pPr>
    <w:rPr>
      <w:i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er">
    <w:name w:val="foot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noteText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TOC1">
    <w:name w:val="toc 1"/>
    <w:basedOn w:val="Normal"/>
    <w:uiPriority w:val="39"/>
    <w:unhideWhenUsed/>
    <w:pPr>
      <w:spacing w:before="0" w:after="57"/>
      <w:ind w:hanging="0" w:left="0" w:right="0"/>
    </w:pPr>
    <w:rPr/>
  </w:style>
  <w:style w:type="paragraph" w:styleId="TOC2">
    <w:name w:val="toc 2"/>
    <w:basedOn w:val="Normal"/>
    <w:uiPriority w:val="39"/>
    <w:unhideWhenUsed/>
    <w:pPr>
      <w:spacing w:before="0" w:after="57"/>
      <w:ind w:hanging="0" w:left="283" w:right="0"/>
    </w:pPr>
    <w:rPr/>
  </w:style>
  <w:style w:type="paragraph" w:styleId="TOC3">
    <w:name w:val="toc 3"/>
    <w:basedOn w:val="Normal"/>
    <w:uiPriority w:val="39"/>
    <w:unhideWhenUsed/>
    <w:pPr>
      <w:spacing w:before="0" w:after="57"/>
      <w:ind w:hanging="0" w:left="567" w:right="0"/>
    </w:pPr>
    <w:rPr/>
  </w:style>
  <w:style w:type="paragraph" w:styleId="TOC4">
    <w:name w:val="toc 4"/>
    <w:basedOn w:val="Normal"/>
    <w:uiPriority w:val="39"/>
    <w:unhideWhenUsed/>
    <w:pPr>
      <w:spacing w:before="0" w:after="57"/>
      <w:ind w:hanging="0" w:left="850" w:right="0"/>
    </w:pPr>
    <w:rPr/>
  </w:style>
  <w:style w:type="paragraph" w:styleId="TOC5">
    <w:name w:val="toc 5"/>
    <w:basedOn w:val="Normal"/>
    <w:uiPriority w:val="39"/>
    <w:unhideWhenUsed/>
    <w:pPr>
      <w:spacing w:before="0" w:after="57"/>
      <w:ind w:hanging="0" w:left="1134" w:right="0"/>
    </w:pPr>
    <w:rPr/>
  </w:style>
  <w:style w:type="paragraph" w:styleId="TOC6">
    <w:name w:val="toc 6"/>
    <w:basedOn w:val="Normal"/>
    <w:uiPriority w:val="39"/>
    <w:unhideWhenUsed/>
    <w:pPr>
      <w:spacing w:before="0" w:after="57"/>
      <w:ind w:hanging="0" w:left="1417" w:right="0"/>
    </w:pPr>
    <w:rPr/>
  </w:style>
  <w:style w:type="paragraph" w:styleId="TOC7">
    <w:name w:val="toc 7"/>
    <w:basedOn w:val="Normal"/>
    <w:uiPriority w:val="39"/>
    <w:unhideWhenUsed/>
    <w:pPr>
      <w:spacing w:before="0" w:after="57"/>
      <w:ind w:hanging="0" w:left="1701" w:right="0"/>
    </w:pPr>
    <w:rPr/>
  </w:style>
  <w:style w:type="paragraph" w:styleId="TOC8">
    <w:name w:val="toc 8"/>
    <w:basedOn w:val="Normal"/>
    <w:uiPriority w:val="39"/>
    <w:unhideWhenUsed/>
    <w:pPr>
      <w:spacing w:before="0" w:after="57"/>
      <w:ind w:hanging="0" w:left="1984" w:right="0"/>
    </w:pPr>
    <w:rPr/>
  </w:style>
  <w:style w:type="paragraph" w:styleId="TOC9">
    <w:name w:val="toc 9"/>
    <w:basedOn w:val="Normal"/>
    <w:uiPriority w:val="39"/>
    <w:unhideWhenUsed/>
    <w:pPr>
      <w:spacing w:before="0" w:after="57"/>
      <w:ind w:hanging="0" w:left="2268" w:right="0"/>
    </w:pPr>
    <w:rPr/>
  </w:style>
  <w:style w:type="paragraph" w:styleId="IndexHeading">
    <w:name w:val="index heading"/>
    <w:basedOn w:val="Style7"/>
    <w:pPr/>
    <w:rPr/>
  </w:style>
  <w:style w:type="paragraph" w:styleId="TOCHeading">
    <w:name w:val="TOC Heading"/>
    <w:uiPriority w:val="39"/>
    <w:unhideWhenUsed/>
    <w:qFormat/>
    <w:pPr>
      <w:widowControl/>
      <w:suppressAutoHyphens w:val="true"/>
      <w:bidi w:val="0"/>
      <w:spacing w:lineRule="auto" w:line="276" w:beforeAutospacing="0" w:before="0" w:afterAutospacing="0" w:after="20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ableofFigures">
    <w:name w:val="table of figures"/>
    <w:basedOn w:val="Normal"/>
    <w:uiPriority w:val="99"/>
    <w:unhideWhenUsed/>
    <w:pPr>
      <w:spacing w:before="0" w:afterAutospacing="0" w:after="0"/>
    </w:pPr>
    <w:rPr/>
  </w:style>
  <w:style w:type="paragraph" w:styleId="ListParagraph">
    <w:name w:val="List Paragraph"/>
    <w:basedOn w:val="Normal"/>
    <w:uiPriority w:val="34"/>
    <w:qFormat/>
    <w:pPr>
      <w:spacing w:before="0" w:after="0"/>
      <w:ind w:left="720"/>
      <w:contextualSpacing/>
    </w:pPr>
    <w:rPr/>
  </w:style>
  <w:style w:type="paragraph" w:styleId="ConsPlusTitle" w:customStyle="1">
    <w:name w:val="ConsPlusTitle"/>
    <w:qFormat/>
    <w:pPr>
      <w:keepNext w:val="false"/>
      <w:keepLines w:val="false"/>
      <w:pageBreakBefore w:val="false"/>
      <w:widowControl w:val="false"/>
      <w:shd w:val="nil" w:color="000000"/>
      <w:suppressAutoHyphens w:val="true"/>
      <w:bidi w:val="0"/>
      <w:spacing w:lineRule="auto" w:line="240" w:beforeAutospacing="0" w:before="0" w:afterAutospacing="0" w:after="0"/>
      <w:ind w:hanging="0" w:left="0" w:right="0"/>
      <w:jc w:val="left"/>
    </w:pPr>
    <w:rPr>
      <w:rFonts w:ascii="Calibri" w:hAnsi="Calibri" w:eastAsia="Times New Roman" w:cs="Times New Roman"/>
      <w:b/>
      <w:bCs w:val="false"/>
      <w:i w:val="false"/>
      <w:iCs w:val="false"/>
      <w:caps w:val="false"/>
      <w:smallCaps w:val="false"/>
      <w:strike w:val="false"/>
      <w:dstrike w:val="false"/>
      <w:vanish w:val="false"/>
      <w:color w:val="00000A"/>
      <w:spacing w:val="0"/>
      <w:kern w:val="0"/>
      <w:position w:val="0"/>
      <w:sz w:val="22"/>
      <w:sz w:val="22"/>
      <w:szCs w:val="20"/>
      <w:u w:val="none"/>
      <w:vertAlign w:val="baseline"/>
      <w:lang w:val="ru-RU" w:eastAsia="ru-RU" w:bidi="ar-SA"/>
      <w14:ligatures w14:val="none"/>
    </w:rPr>
  </w:style>
  <w:style w:type="paragraph" w:styleId="Style9">
    <w:name w:val="Внутренний адрес"/>
    <w:basedOn w:val="BodyText"/>
    <w:qFormat/>
    <w:pPr>
      <w:spacing w:lineRule="atLeast" w:line="220" w:before="0" w:after="0"/>
    </w:pPr>
    <w:rPr>
      <w:rFonts w:ascii="Arial" w:hAnsi="Arial" w:cs="Arial"/>
      <w:sz w:val="20"/>
      <w:szCs w:val="20"/>
    </w:rPr>
  </w:style>
  <w:style w:type="numbering" w:styleId="Style10" w:default="1">
    <w:name w:val="Без списка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Arial" pitchFamily="0" charset="1"/>
        <a:cs typeface="Arial" pitchFamily="0" charset="1"/>
      </a:majorFont>
      <a:minorFont>
        <a:latin typeface="Calibri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0" t="0" r="0" b="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0" t="0" r="0" b="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LibreOffice/24.8.4.2$Linux_X86_64 LibreOffice_project/480$Build-2</Application>
  <AppVersion>15.0000</AppVersion>
  <Pages>2</Pages>
  <Words>632</Words>
  <Characters>4420</Characters>
  <CharactersWithSpaces>5071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2023-08-10T11:55:00Z</dcterms:created>
  <dc:creator>Балакирева Наталья Николаевна</dc:creator>
  <dc:description/>
  <dc:language>ru-RU</dc:language>
  <cp:lastModifiedBy/>
  <dcterms:modified xsi:type="dcterms:W3CDTF">2025-08-12T12:19:41Z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